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8FB21" w14:textId="77777777" w:rsidR="00070680" w:rsidRPr="00D97B28" w:rsidRDefault="00070680" w:rsidP="00070680">
      <w:pPr>
        <w:tabs>
          <w:tab w:val="center" w:pos="4536"/>
          <w:tab w:val="right" w:pos="8280"/>
          <w:tab w:val="right" w:pos="9639"/>
        </w:tabs>
        <w:ind w:right="2"/>
        <w:rPr>
          <w:rFonts w:ascii="Arial" w:hAnsi="Arial" w:cs="Arial"/>
          <w:b/>
          <w:bCs/>
          <w:sz w:val="24"/>
        </w:rPr>
      </w:pPr>
      <w:r w:rsidRPr="00D97B28">
        <w:rPr>
          <w:rFonts w:ascii="Arial" w:hAnsi="Arial" w:cs="Arial"/>
          <w:b/>
          <w:bCs/>
          <w:sz w:val="24"/>
        </w:rPr>
        <w:t>3GPP TSG RAN WG1 #97</w:t>
      </w:r>
      <w:r w:rsidRPr="00D97B28">
        <w:rPr>
          <w:rFonts w:ascii="Arial" w:hAnsi="Arial" w:cs="Arial"/>
          <w:b/>
          <w:bCs/>
          <w:sz w:val="24"/>
        </w:rPr>
        <w:tab/>
      </w:r>
      <w:r w:rsidRPr="00D97B28">
        <w:rPr>
          <w:rFonts w:ascii="Arial" w:hAnsi="Arial" w:cs="Arial"/>
          <w:b/>
          <w:bCs/>
          <w:sz w:val="24"/>
        </w:rPr>
        <w:tab/>
      </w:r>
      <w:r w:rsidRPr="00D97B28">
        <w:rPr>
          <w:rFonts w:ascii="Arial" w:hAnsi="Arial" w:cs="Arial"/>
          <w:b/>
          <w:bCs/>
          <w:sz w:val="24"/>
        </w:rPr>
        <w:tab/>
      </w:r>
      <w:r w:rsidRPr="00D97B28">
        <w:rPr>
          <w:rFonts w:ascii="Arial" w:hAnsi="Arial" w:cs="Arial"/>
          <w:b/>
          <w:bCs/>
          <w:sz w:val="24"/>
          <w:highlight w:val="yellow"/>
        </w:rPr>
        <w:t>R1-19xxxxx</w:t>
      </w:r>
    </w:p>
    <w:p w14:paraId="3C46CB79" w14:textId="77777777" w:rsidR="00070680" w:rsidRPr="00D97B28" w:rsidRDefault="00070680" w:rsidP="00070680">
      <w:pPr>
        <w:tabs>
          <w:tab w:val="center" w:pos="4536"/>
          <w:tab w:val="right" w:pos="9072"/>
        </w:tabs>
        <w:rPr>
          <w:rFonts w:ascii="Arial" w:hAnsi="Arial" w:cs="Arial"/>
          <w:b/>
          <w:bCs/>
          <w:sz w:val="24"/>
          <w:lang w:eastAsia="ja-JP"/>
        </w:rPr>
      </w:pPr>
      <w:r w:rsidRPr="00D97B28">
        <w:rPr>
          <w:rFonts w:ascii="Arial" w:hAnsi="Arial" w:cs="Arial"/>
          <w:b/>
          <w:bCs/>
          <w:sz w:val="24"/>
          <w:lang w:eastAsia="ja-JP"/>
        </w:rPr>
        <w:t>Reno, USA, May 13</w:t>
      </w:r>
      <w:r w:rsidRPr="00D97B28">
        <w:rPr>
          <w:rFonts w:ascii="Arial" w:hAnsi="Arial" w:cs="Arial"/>
          <w:b/>
          <w:bCs/>
          <w:sz w:val="24"/>
          <w:vertAlign w:val="superscript"/>
          <w:lang w:eastAsia="ja-JP"/>
        </w:rPr>
        <w:t>th</w:t>
      </w:r>
      <w:r w:rsidRPr="00D97B28">
        <w:rPr>
          <w:rFonts w:ascii="Arial" w:hAnsi="Arial" w:cs="Arial"/>
          <w:b/>
          <w:bCs/>
          <w:sz w:val="24"/>
          <w:lang w:eastAsia="ja-JP"/>
        </w:rPr>
        <w:t xml:space="preserve"> – 17</w:t>
      </w:r>
      <w:r w:rsidRPr="00D97B28">
        <w:rPr>
          <w:rFonts w:ascii="Arial" w:hAnsi="Arial" w:cs="Arial"/>
          <w:b/>
          <w:bCs/>
          <w:sz w:val="24"/>
          <w:vertAlign w:val="superscript"/>
          <w:lang w:eastAsia="ja-JP"/>
        </w:rPr>
        <w:t>th</w:t>
      </w:r>
      <w:r w:rsidRPr="00D97B28">
        <w:rPr>
          <w:rFonts w:ascii="Arial" w:hAnsi="Arial" w:cs="Arial"/>
          <w:b/>
          <w:bCs/>
          <w:sz w:val="24"/>
          <w:lang w:eastAsia="ja-JP"/>
        </w:rPr>
        <w:t>, 2019</w:t>
      </w:r>
    </w:p>
    <w:p w14:paraId="3638496C" w14:textId="77777777" w:rsidR="002E6B5E" w:rsidRPr="00070680" w:rsidRDefault="002E6B5E" w:rsidP="002E6B5E">
      <w:pPr>
        <w:pStyle w:val="a4"/>
        <w:jc w:val="both"/>
        <w:rPr>
          <w:i w:val="0"/>
          <w:iCs/>
          <w:sz w:val="24"/>
          <w:szCs w:val="24"/>
          <w:lang w:eastAsia="ja-JP"/>
        </w:rPr>
      </w:pPr>
    </w:p>
    <w:p w14:paraId="4A685A40" w14:textId="784996B2"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DE11D0">
        <w:rPr>
          <w:b/>
          <w:noProof/>
          <w:sz w:val="22"/>
          <w:szCs w:val="22"/>
          <w:lang w:val="en-US"/>
        </w:rPr>
        <w:t>7.2.</w:t>
      </w:r>
      <w:r w:rsidR="00DA191F">
        <w:rPr>
          <w:b/>
          <w:noProof/>
          <w:sz w:val="22"/>
          <w:szCs w:val="22"/>
          <w:lang w:val="en-US"/>
        </w:rPr>
        <w:t>13</w:t>
      </w:r>
      <w:r w:rsidR="00DE11D0">
        <w:rPr>
          <w:b/>
          <w:noProof/>
          <w:sz w:val="22"/>
          <w:szCs w:val="22"/>
          <w:lang w:val="en-US"/>
        </w:rPr>
        <w:t>.2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762C69DE"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C6AFE" w:rsidRPr="000C6AFE">
        <w:rPr>
          <w:b/>
          <w:noProof/>
          <w:sz w:val="22"/>
          <w:szCs w:val="22"/>
          <w:lang w:val="en-US"/>
        </w:rPr>
        <w:t xml:space="preserve">Discussion on </w:t>
      </w:r>
      <w:r w:rsidR="000C6AFE">
        <w:rPr>
          <w:b/>
          <w:noProof/>
          <w:sz w:val="22"/>
          <w:szCs w:val="22"/>
          <w:lang w:val="en-US"/>
        </w:rPr>
        <w:t>c</w:t>
      </w:r>
      <w:r w:rsidR="000C6AFE" w:rsidRPr="000C6AFE">
        <w:rPr>
          <w:b/>
          <w:noProof/>
          <w:sz w:val="22"/>
          <w:szCs w:val="22"/>
          <w:lang w:val="en-US"/>
        </w:rPr>
        <w:t xml:space="preserve">ross-carrier </w:t>
      </w:r>
      <w:r w:rsidR="000C6AFE">
        <w:rPr>
          <w:b/>
          <w:noProof/>
          <w:sz w:val="22"/>
          <w:szCs w:val="22"/>
          <w:lang w:val="en-US"/>
        </w:rPr>
        <w:t>s</w:t>
      </w:r>
      <w:r w:rsidR="000C6AFE" w:rsidRPr="000C6AFE">
        <w:rPr>
          <w:b/>
          <w:noProof/>
          <w:sz w:val="22"/>
          <w:szCs w:val="22"/>
          <w:lang w:val="en-US"/>
        </w:rPr>
        <w:t xml:space="preserve">cheduling with </w:t>
      </w:r>
      <w:r w:rsidR="000C6AFE">
        <w:rPr>
          <w:b/>
          <w:noProof/>
          <w:sz w:val="22"/>
          <w:szCs w:val="22"/>
          <w:lang w:val="en-US"/>
        </w:rPr>
        <w:t>d</w:t>
      </w:r>
      <w:r w:rsidR="000C6AFE" w:rsidRPr="000C6AFE">
        <w:rPr>
          <w:b/>
          <w:noProof/>
          <w:sz w:val="22"/>
          <w:szCs w:val="22"/>
          <w:lang w:val="en-US"/>
        </w:rPr>
        <w:t xml:space="preserve">ifferent </w:t>
      </w:r>
      <w:r w:rsidR="000C6AFE">
        <w:rPr>
          <w:b/>
          <w:noProof/>
          <w:sz w:val="22"/>
          <w:szCs w:val="22"/>
          <w:lang w:val="en-US"/>
        </w:rPr>
        <w:t>n</w:t>
      </w:r>
      <w:r w:rsidR="000C6AFE" w:rsidRPr="000C6AFE">
        <w:rPr>
          <w:b/>
          <w:noProof/>
          <w:sz w:val="22"/>
          <w:szCs w:val="22"/>
          <w:lang w:val="en-US"/>
        </w:rPr>
        <w:t>umerologies</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0EDBC58" w14:textId="23AE730B" w:rsidR="0001216B" w:rsidRPr="0001216B" w:rsidRDefault="0001216B" w:rsidP="0001216B">
      <w:pPr>
        <w:jc w:val="both"/>
      </w:pPr>
      <w:r w:rsidRPr="0001216B">
        <w:t>I</w:t>
      </w:r>
      <w:r w:rsidRPr="0001216B">
        <w:rPr>
          <w:rFonts w:hint="eastAsia"/>
        </w:rPr>
        <w:t>n RA</w:t>
      </w:r>
      <w:r w:rsidRPr="0001216B">
        <w:t xml:space="preserve">N #81 meeting, a Work Item on DC and CA enhancements [1] was approved. One of the objectives is to investigate enhancements to CA to support cross-carrier scheduling </w:t>
      </w:r>
      <w:r>
        <w:t xml:space="preserve">with different numerologies. </w:t>
      </w:r>
      <w:r w:rsidR="007E287B">
        <w:t>A</w:t>
      </w:r>
      <w:r>
        <w:t xml:space="preserve">nd in RAN1 </w:t>
      </w:r>
      <w:r w:rsidR="00AC7948">
        <w:t>96</w:t>
      </w:r>
      <w:r w:rsidR="0073580E">
        <w:t>bis</w:t>
      </w:r>
      <w:r>
        <w:t xml:space="preserve"> meeting, the following </w:t>
      </w:r>
      <w:r w:rsidR="00AC7948">
        <w:t>agreements</w:t>
      </w:r>
      <w:r>
        <w:t xml:space="preserve"> w</w:t>
      </w:r>
      <w:r w:rsidR="00DA191F">
        <w:t>ere</w:t>
      </w:r>
      <w:r>
        <w:t xml:space="preserve"> achieved</w:t>
      </w:r>
      <w:r w:rsidR="00FE6371">
        <w:t xml:space="preserve"> [2]</w:t>
      </w:r>
      <w:r>
        <w:t>.</w:t>
      </w:r>
    </w:p>
    <w:tbl>
      <w:tblPr>
        <w:tblStyle w:val="af7"/>
        <w:tblW w:w="0" w:type="auto"/>
        <w:tblLook w:val="04A0" w:firstRow="1" w:lastRow="0" w:firstColumn="1" w:lastColumn="0" w:noHBand="0" w:noVBand="1"/>
      </w:tblPr>
      <w:tblGrid>
        <w:gridCol w:w="9630"/>
      </w:tblGrid>
      <w:tr w:rsidR="0001216B" w14:paraId="404B5A45" w14:textId="77777777" w:rsidTr="0071639E">
        <w:tc>
          <w:tcPr>
            <w:tcW w:w="9962" w:type="dxa"/>
          </w:tcPr>
          <w:p w14:paraId="279F0CBB" w14:textId="77777777" w:rsidR="0073580E" w:rsidRPr="007A1D17" w:rsidRDefault="0073580E" w:rsidP="0073580E">
            <w:pPr>
              <w:ind w:left="1440" w:hanging="1440"/>
              <w:rPr>
                <w:highlight w:val="green"/>
              </w:rPr>
            </w:pPr>
            <w:r w:rsidRPr="007A1D17">
              <w:rPr>
                <w:highlight w:val="green"/>
                <w:lang w:eastAsia="x-none"/>
              </w:rPr>
              <w:t>Agreements:</w:t>
            </w:r>
          </w:p>
          <w:p w14:paraId="1BB82F7D" w14:textId="77777777" w:rsidR="0073580E" w:rsidRPr="007A1D17" w:rsidRDefault="0073580E" w:rsidP="0073580E">
            <w:pPr>
              <w:pStyle w:val="afe"/>
              <w:numPr>
                <w:ilvl w:val="0"/>
                <w:numId w:val="28"/>
              </w:numPr>
              <w:spacing w:after="0"/>
              <w:ind w:leftChars="0"/>
              <w:contextualSpacing/>
              <w:rPr>
                <w:lang w:val="en-US"/>
              </w:rPr>
            </w:pPr>
            <w:r w:rsidRPr="007A1D17">
              <w:rPr>
                <w:lang w:val="en-US"/>
              </w:rPr>
              <w:t>For case 1-1 scheduling (PDCCH in the beginning of the slot), when a lower SCS PDCCH schedules a higher SCS PDSCH:</w:t>
            </w:r>
          </w:p>
          <w:p w14:paraId="040281D1" w14:textId="77777777" w:rsidR="0073580E" w:rsidRPr="007A1D17" w:rsidRDefault="0073580E" w:rsidP="0073580E">
            <w:pPr>
              <w:pStyle w:val="afe"/>
              <w:numPr>
                <w:ilvl w:val="1"/>
                <w:numId w:val="28"/>
              </w:numPr>
              <w:spacing w:after="0"/>
              <w:ind w:leftChars="0"/>
              <w:contextualSpacing/>
              <w:rPr>
                <w:lang w:val="en-US"/>
              </w:rPr>
            </w:pPr>
            <w:r w:rsidRPr="007A1D17">
              <w:rPr>
                <w:lang w:val="en-US"/>
              </w:rPr>
              <w:t xml:space="preserve">The </w:t>
            </w:r>
            <w:r w:rsidRPr="007A1D17">
              <w:sym w:font="Symbol" w:char="F044"/>
            </w:r>
            <w:r w:rsidRPr="007A1D17">
              <w:rPr>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0E7FCCD6" w14:textId="77777777" w:rsidR="0073580E" w:rsidRPr="00BA5FF0" w:rsidRDefault="0073580E" w:rsidP="0073580E">
            <w:pPr>
              <w:rPr>
                <w:b/>
                <w:lang w:val="en-US"/>
              </w:rPr>
            </w:pPr>
            <w:r w:rsidRPr="00BA5FF0">
              <w:rPr>
                <w:highlight w:val="green"/>
                <w:lang w:val="en-US"/>
              </w:rPr>
              <w:t>Agreements</w:t>
            </w:r>
            <w:r w:rsidRPr="00BA5FF0">
              <w:rPr>
                <w:b/>
                <w:lang w:val="en-US"/>
              </w:rPr>
              <w:t>:</w:t>
            </w:r>
          </w:p>
          <w:p w14:paraId="57E1D6A7" w14:textId="77777777" w:rsidR="0073580E" w:rsidRPr="00BA5FF0" w:rsidRDefault="0073580E" w:rsidP="0073580E">
            <w:pPr>
              <w:ind w:left="284"/>
              <w:rPr>
                <w:lang w:val="en-US"/>
              </w:rPr>
            </w:pPr>
            <w:r w:rsidRPr="00BA5FF0">
              <w:rPr>
                <w:lang w:val="en-US"/>
              </w:rPr>
              <w:t>Regarding PDSCH-to-HARQ-ACK minimum allowed timing</w:t>
            </w:r>
            <w:r w:rsidRPr="00BA5FF0">
              <w:t xml:space="preserve"> </w:t>
            </w:r>
            <w:r w:rsidRPr="00BA5FF0">
              <w:rPr>
                <w:lang w:val="en-US"/>
              </w:rPr>
              <w:t>under cross-carrier scheduling with different numerologies:</w:t>
            </w:r>
          </w:p>
          <w:p w14:paraId="0DF4A541" w14:textId="77777777" w:rsidR="0073580E" w:rsidRPr="00BA5FF0" w:rsidRDefault="0073580E" w:rsidP="0073580E">
            <w:pPr>
              <w:pStyle w:val="afe"/>
              <w:numPr>
                <w:ilvl w:val="0"/>
                <w:numId w:val="29"/>
              </w:numPr>
              <w:spacing w:after="0"/>
              <w:ind w:leftChars="0"/>
              <w:contextualSpacing/>
              <w:rPr>
                <w:lang w:val="en-US"/>
              </w:rPr>
            </w:pPr>
            <w:r w:rsidRPr="00BA5FF0">
              <w:rPr>
                <w:lang w:val="en-US"/>
              </w:rPr>
              <w:t xml:space="preserve">Use the Rel-15 specification without changes </w:t>
            </w:r>
          </w:p>
          <w:p w14:paraId="7D746741" w14:textId="77777777" w:rsidR="0073580E" w:rsidRPr="00373EE1" w:rsidRDefault="0073580E" w:rsidP="0073580E">
            <w:pPr>
              <w:pStyle w:val="afe"/>
              <w:ind w:leftChars="0" w:left="0"/>
              <w:contextualSpacing/>
              <w:rPr>
                <w:lang w:val="en-US"/>
              </w:rPr>
            </w:pPr>
            <w:r w:rsidRPr="00373EE1">
              <w:rPr>
                <w:highlight w:val="green"/>
                <w:lang w:val="en-US"/>
              </w:rPr>
              <w:t>Agreements</w:t>
            </w:r>
            <w:r w:rsidRPr="00373EE1">
              <w:rPr>
                <w:lang w:val="en-US"/>
              </w:rPr>
              <w:t>:</w:t>
            </w:r>
          </w:p>
          <w:p w14:paraId="75AA351A" w14:textId="77777777" w:rsidR="0073580E" w:rsidRPr="00373EE1" w:rsidRDefault="0073580E" w:rsidP="0073580E">
            <w:pPr>
              <w:ind w:left="284"/>
              <w:rPr>
                <w:lang w:val="en-US"/>
              </w:rPr>
            </w:pPr>
            <w:r w:rsidRPr="00373EE1">
              <w:rPr>
                <w:lang w:val="en-US"/>
              </w:rPr>
              <w:t>Regarding PDCCH-to-PUSCH minimum allowed timing under cross-carrier scheduling with different numerologies:</w:t>
            </w:r>
          </w:p>
          <w:p w14:paraId="1DC41677" w14:textId="77777777" w:rsidR="0073580E" w:rsidRPr="00373EE1" w:rsidRDefault="0073580E" w:rsidP="0073580E">
            <w:pPr>
              <w:pStyle w:val="afe"/>
              <w:numPr>
                <w:ilvl w:val="0"/>
                <w:numId w:val="29"/>
              </w:numPr>
              <w:spacing w:after="0"/>
              <w:ind w:leftChars="0"/>
              <w:contextualSpacing/>
              <w:rPr>
                <w:lang w:val="en-US"/>
              </w:rPr>
            </w:pPr>
            <w:r w:rsidRPr="00373EE1">
              <w:rPr>
                <w:lang w:val="en-US"/>
              </w:rPr>
              <w:t xml:space="preserve">Use the Rel-15 specification without changes </w:t>
            </w:r>
          </w:p>
          <w:p w14:paraId="069E9BFD" w14:textId="77777777" w:rsidR="0073580E" w:rsidRDefault="0073580E" w:rsidP="0073580E">
            <w:pPr>
              <w:pStyle w:val="afe"/>
              <w:ind w:leftChars="0" w:left="0"/>
              <w:contextualSpacing/>
              <w:rPr>
                <w:sz w:val="40"/>
              </w:rPr>
            </w:pPr>
          </w:p>
          <w:p w14:paraId="0DD2FAB3" w14:textId="77777777" w:rsidR="0073580E" w:rsidRPr="005C5BF0" w:rsidRDefault="0073580E" w:rsidP="0073580E">
            <w:pPr>
              <w:pStyle w:val="afe"/>
              <w:ind w:leftChars="0" w:left="0"/>
              <w:contextualSpacing/>
            </w:pPr>
            <w:r w:rsidRPr="005C5BF0">
              <w:rPr>
                <w:b/>
                <w:u w:val="single"/>
              </w:rPr>
              <w:t>Conclusion</w:t>
            </w:r>
            <w:r w:rsidRPr="005C5BF0">
              <w:t>:</w:t>
            </w:r>
          </w:p>
          <w:p w14:paraId="71E86AEF" w14:textId="77777777" w:rsidR="0073580E" w:rsidRPr="005C5BF0" w:rsidRDefault="0073580E" w:rsidP="0073580E">
            <w:pPr>
              <w:pStyle w:val="afe"/>
              <w:numPr>
                <w:ilvl w:val="0"/>
                <w:numId w:val="30"/>
              </w:numPr>
              <w:spacing w:after="0"/>
              <w:ind w:leftChars="0"/>
              <w:contextualSpacing/>
            </w:pPr>
            <w:r w:rsidRPr="005C5BF0">
              <w:t>The PDCCH monitoring occasion determination is based on the numerology of scheduling cell in cross-carrier scheduling with different numerologies</w:t>
            </w:r>
          </w:p>
          <w:p w14:paraId="7C5B3EB8" w14:textId="77777777" w:rsidR="0073580E" w:rsidRPr="005C5BF0" w:rsidRDefault="0073580E" w:rsidP="0073580E">
            <w:pPr>
              <w:pStyle w:val="afe"/>
              <w:numPr>
                <w:ilvl w:val="1"/>
                <w:numId w:val="30"/>
              </w:numPr>
              <w:spacing w:after="0"/>
              <w:ind w:leftChars="0"/>
              <w:contextualSpacing/>
            </w:pPr>
            <w:r w:rsidRPr="005C5BF0">
              <w:t>No spec change is intended</w:t>
            </w:r>
          </w:p>
          <w:p w14:paraId="53820843" w14:textId="77777777" w:rsidR="0073580E" w:rsidRDefault="0073580E" w:rsidP="0073580E">
            <w:pPr>
              <w:pStyle w:val="afe"/>
              <w:ind w:leftChars="0" w:left="0"/>
              <w:contextualSpacing/>
            </w:pPr>
          </w:p>
          <w:p w14:paraId="3E83D013" w14:textId="77777777" w:rsidR="0073580E" w:rsidRPr="005748C5" w:rsidRDefault="0073580E" w:rsidP="0073580E">
            <w:pPr>
              <w:pStyle w:val="afe"/>
              <w:ind w:leftChars="0" w:left="0"/>
              <w:contextualSpacing/>
            </w:pPr>
            <w:r w:rsidRPr="005748C5">
              <w:t>For the case of cross-carrier scheduling from lower SCS to higher SCS for PDSCH, companies are encouraged to provide sufficient details for the design alternative(s)</w:t>
            </w:r>
            <w:r>
              <w:t xml:space="preserve"> for scheduling</w:t>
            </w:r>
            <w:r w:rsidRPr="005748C5">
              <w:t xml:space="preserve">  – to finalize in RAN1#97.</w:t>
            </w:r>
          </w:p>
          <w:p w14:paraId="121B6701" w14:textId="76804170" w:rsidR="0001216B" w:rsidRPr="00AC7948" w:rsidRDefault="0073580E" w:rsidP="0073580E">
            <w:pPr>
              <w:pStyle w:val="afe"/>
              <w:ind w:leftChars="0" w:left="0"/>
              <w:contextualSpacing/>
            </w:pPr>
            <w:r w:rsidRPr="005C7E2A">
              <w:rPr>
                <w:highlight w:val="cyan"/>
              </w:rPr>
              <w:t>Email discussion for the remaining details</w:t>
            </w:r>
            <w:r>
              <w:rPr>
                <w:highlight w:val="cyan"/>
              </w:rPr>
              <w:t xml:space="preserve"> for CCS</w:t>
            </w:r>
            <w:r w:rsidRPr="005C7E2A">
              <w:rPr>
                <w:highlight w:val="cyan"/>
              </w:rPr>
              <w:t xml:space="preserve"> till next meeting – Karri (Nokia)</w:t>
            </w:r>
          </w:p>
        </w:tc>
      </w:tr>
    </w:tbl>
    <w:p w14:paraId="30D39AFD" w14:textId="77777777" w:rsidR="0001216B" w:rsidRPr="0001216B" w:rsidRDefault="0001216B" w:rsidP="002C1B0A">
      <w:pPr>
        <w:jc w:val="both"/>
      </w:pPr>
    </w:p>
    <w:p w14:paraId="433CFAD2" w14:textId="0DA88537" w:rsidR="0001216B" w:rsidRDefault="0001216B" w:rsidP="002C1B0A">
      <w:pPr>
        <w:jc w:val="both"/>
      </w:pPr>
      <w:r w:rsidRPr="006A4AB6">
        <w:t xml:space="preserve">For carrier aggregation, </w:t>
      </w:r>
      <w:r>
        <w:t xml:space="preserve">the remaining issues for cross-carrier scheduling for different numerology </w:t>
      </w:r>
      <w:r w:rsidR="0043087C">
        <w:t>are</w:t>
      </w:r>
      <w:r>
        <w:t xml:space="preserve"> discussed in this contribution.</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1BD6B471" w14:textId="7035744D" w:rsidR="00880E1D" w:rsidRPr="00764989" w:rsidRDefault="00B318F0" w:rsidP="00764989">
      <w:pPr>
        <w:jc w:val="both"/>
      </w:pPr>
      <w:r w:rsidRPr="00764989">
        <w:t xml:space="preserve">When </w:t>
      </w:r>
      <w:r w:rsidR="0080074D" w:rsidRPr="005748C5">
        <w:t>cross-carrier scheduling from lo</w:t>
      </w:r>
      <w:r w:rsidR="0080074D">
        <w:t>wer SCS to higher SCS for PDSCH</w:t>
      </w:r>
      <w:r w:rsidRPr="00764989">
        <w:t>, extra buffer size is raised as shown in the Figure</w:t>
      </w:r>
      <w:r w:rsidR="00AC26A6">
        <w:t xml:space="preserve"> 1</w:t>
      </w:r>
      <w:r w:rsidRPr="00764989">
        <w:t>.</w:t>
      </w:r>
      <w:r w:rsidR="006C0E64" w:rsidRPr="00764989">
        <w:t xml:space="preserve"> </w:t>
      </w:r>
      <w:r w:rsidR="00880E1D" w:rsidRPr="00764989">
        <w:t xml:space="preserve">After several meetings discussion, it has </w:t>
      </w:r>
      <w:r w:rsidR="00AC26A6">
        <w:t xml:space="preserve">been </w:t>
      </w:r>
      <w:r w:rsidR="00880E1D" w:rsidRPr="00764989">
        <w:t xml:space="preserve">focus on </w:t>
      </w:r>
      <w:bookmarkStart w:id="2" w:name="OLE_LINK16"/>
      <w:bookmarkStart w:id="3" w:name="OLE_LINK17"/>
      <w:r w:rsidR="00880E1D" w:rsidRPr="00764989">
        <w:t>the first possible PDSCH starting point</w:t>
      </w:r>
      <w:bookmarkEnd w:id="2"/>
      <w:bookmarkEnd w:id="3"/>
      <w:r w:rsidR="00D05D28">
        <w:t xml:space="preserve"> is defined by the end of the </w:t>
      </w:r>
      <w:r w:rsidR="00D05D28" w:rsidRPr="00394096">
        <w:rPr>
          <w:lang w:val="en-US"/>
        </w:rPr>
        <w:t>PDCCH</w:t>
      </w:r>
      <w:r w:rsidR="005270BC">
        <w:rPr>
          <w:lang w:val="en-US"/>
        </w:rPr>
        <w:t>+</w:t>
      </w:r>
      <w:r w:rsidR="005270BC" w:rsidRPr="00DC7C93">
        <w:sym w:font="Symbol" w:char="F044"/>
      </w:r>
      <w:r w:rsidR="005270BC">
        <w:rPr>
          <w:lang w:val="en-US"/>
        </w:rPr>
        <w:t xml:space="preserve"> and quantization to the next PDSCH slot</w:t>
      </w:r>
      <w:r w:rsidR="004E7746">
        <w:rPr>
          <w:lang w:val="en-US"/>
        </w:rPr>
        <w:t xml:space="preserve"> for case 1-1 scheduling. But </w:t>
      </w:r>
      <w:r w:rsidR="004E7746">
        <w:t xml:space="preserve">the </w:t>
      </w:r>
      <w:r w:rsidR="00B2307A">
        <w:t xml:space="preserve">detailed </w:t>
      </w:r>
      <w:r w:rsidR="004E7746">
        <w:t xml:space="preserve">value of </w:t>
      </w:r>
      <w:r w:rsidR="004E7746" w:rsidRPr="00394096">
        <w:rPr>
          <w:lang w:val="en-US"/>
        </w:rPr>
        <w:sym w:font="Symbol" w:char="F044"/>
      </w:r>
      <w:r w:rsidR="004E7746">
        <w:rPr>
          <w:lang w:val="en-US"/>
        </w:rPr>
        <w:t xml:space="preserve">  is FFS</w:t>
      </w:r>
      <w:r w:rsidR="00B2307A">
        <w:rPr>
          <w:lang w:val="en-US"/>
        </w:rPr>
        <w:t>.</w:t>
      </w:r>
      <w:r w:rsidR="004E7746">
        <w:rPr>
          <w:lang w:val="en-US"/>
        </w:rPr>
        <w:t xml:space="preserve"> </w:t>
      </w:r>
      <w:bookmarkStart w:id="4" w:name="_GoBack"/>
      <w:bookmarkEnd w:id="4"/>
    </w:p>
    <w:p w14:paraId="589233BB" w14:textId="2ADE195E" w:rsidR="00B318F0" w:rsidRDefault="005270BC" w:rsidP="00DA191F">
      <w:r>
        <w:object w:dxaOrig="8635" w:dyaOrig="2062" w14:anchorId="0E4D3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65pt" o:ole="">
            <v:imagedata r:id="rId9" o:title=""/>
          </v:shape>
          <o:OLEObject Type="Embed" ProgID="Visio.Drawing.11" ShapeID="_x0000_i1025" DrawAspect="Content" ObjectID="_1617709801" r:id="rId10"/>
        </w:object>
      </w:r>
    </w:p>
    <w:p w14:paraId="6F77634F" w14:textId="1DA731F1" w:rsidR="006C0E64" w:rsidRDefault="00880E1D" w:rsidP="00880E1D">
      <w:pPr>
        <w:pStyle w:val="ab"/>
        <w:jc w:val="center"/>
      </w:pPr>
      <w:r>
        <w:t xml:space="preserve">Figure </w:t>
      </w:r>
      <w:r>
        <w:fldChar w:fldCharType="begin"/>
      </w:r>
      <w:r>
        <w:instrText xml:space="preserve"> SEQ Figure \* ARABIC </w:instrText>
      </w:r>
      <w:r>
        <w:fldChar w:fldCharType="separate"/>
      </w:r>
      <w:r w:rsidR="00764989">
        <w:rPr>
          <w:noProof/>
        </w:rPr>
        <w:t>1</w:t>
      </w:r>
      <w:r>
        <w:fldChar w:fldCharType="end"/>
      </w:r>
      <w:r w:rsidR="00764989">
        <w:t>: buffer size in the case of cross-carrier scheduling with mix SCS</w:t>
      </w:r>
    </w:p>
    <w:p w14:paraId="26678C5D" w14:textId="45B93796" w:rsidR="00B2307A" w:rsidRPr="00125CE4" w:rsidRDefault="00B2307A" w:rsidP="00B2307A">
      <w:pPr>
        <w:rPr>
          <w:lang w:val="en-US"/>
        </w:rPr>
      </w:pPr>
      <w:r>
        <w:rPr>
          <w:lang w:val="en-US"/>
        </w:rPr>
        <w:t xml:space="preserve">For case 1-1 scheduling, </w:t>
      </w:r>
      <w:r w:rsidR="002F4BB5">
        <w:rPr>
          <w:lang w:val="en-US"/>
        </w:rPr>
        <w:t xml:space="preserve">the following table was proposed during the offline discussion. </w:t>
      </w:r>
      <w:r w:rsidR="005270BC">
        <w:rPr>
          <w:lang w:val="en-US"/>
        </w:rPr>
        <w:t>O</w:t>
      </w:r>
      <w:r w:rsidR="002F4BB5">
        <w:rPr>
          <w:lang w:val="en-US"/>
        </w:rPr>
        <w:t xml:space="preserve">ne </w:t>
      </w:r>
      <w:r w:rsidR="002F4BB5" w:rsidRPr="00DC7C93">
        <w:sym w:font="Symbol" w:char="F044"/>
      </w:r>
      <w:r w:rsidR="002F4BB5">
        <w:t xml:space="preserve"> </w:t>
      </w:r>
      <w:r w:rsidR="002F4BB5">
        <w:rPr>
          <w:lang w:val="en-US"/>
        </w:rPr>
        <w:t xml:space="preserve">value for one scheduling SCS can be sufficient. So we propose </w:t>
      </w:r>
      <w:r w:rsidR="002F4BB5" w:rsidRPr="002F4BB5">
        <w:rPr>
          <w:lang w:val="en-US"/>
        </w:rPr>
        <w:t>2 symbols</w:t>
      </w:r>
      <w:r w:rsidR="002F4BB5">
        <w:rPr>
          <w:lang w:val="en-US"/>
        </w:rPr>
        <w:t xml:space="preserve"> for 15 kHz</w:t>
      </w:r>
      <w:r w:rsidR="002F4BB5" w:rsidRPr="002F4BB5">
        <w:rPr>
          <w:lang w:val="en-US"/>
        </w:rPr>
        <w:t>, 4</w:t>
      </w:r>
      <w:r w:rsidR="002F4BB5">
        <w:rPr>
          <w:lang w:val="en-US"/>
        </w:rPr>
        <w:t xml:space="preserve"> </w:t>
      </w:r>
      <w:r w:rsidR="002F4BB5" w:rsidRPr="002F4BB5">
        <w:rPr>
          <w:lang w:val="en-US"/>
        </w:rPr>
        <w:t>symbols</w:t>
      </w:r>
      <w:r w:rsidR="002F4BB5">
        <w:rPr>
          <w:lang w:val="en-US"/>
        </w:rPr>
        <w:t xml:space="preserve"> for 30 kHz</w:t>
      </w:r>
      <w:r w:rsidR="002F4BB5" w:rsidRPr="002F4BB5">
        <w:rPr>
          <w:lang w:val="en-US"/>
        </w:rPr>
        <w:t xml:space="preserve">, </w:t>
      </w:r>
      <w:r w:rsidR="002F4BB5">
        <w:rPr>
          <w:lang w:val="en-US"/>
        </w:rPr>
        <w:t xml:space="preserve">and </w:t>
      </w:r>
      <w:r w:rsidR="002F4BB5" w:rsidRPr="002F4BB5">
        <w:rPr>
          <w:lang w:val="en-US"/>
        </w:rPr>
        <w:t>8 symbols</w:t>
      </w:r>
      <w:r w:rsidR="002F4BB5">
        <w:rPr>
          <w:lang w:val="en-US"/>
        </w:rPr>
        <w:t xml:space="preserve"> for </w:t>
      </w:r>
      <w:r w:rsidR="002F4BB5" w:rsidRPr="002F4BB5">
        <w:rPr>
          <w:lang w:val="en-US"/>
        </w:rPr>
        <w:t>60</w:t>
      </w:r>
      <w:r w:rsidR="002F4BB5">
        <w:rPr>
          <w:lang w:val="en-US"/>
        </w:rPr>
        <w:t xml:space="preserve"> </w:t>
      </w:r>
      <w:r w:rsidR="005270BC">
        <w:rPr>
          <w:lang w:val="en-US"/>
        </w:rPr>
        <w:t>kHz for case 1 scheduling.</w:t>
      </w:r>
    </w:p>
    <w:p w14:paraId="6D8084CE" w14:textId="77777777" w:rsidR="00B2307A" w:rsidRDefault="00B2307A" w:rsidP="00B2307A">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C7C93">
        <w:sym w:font="Symbol" w:char="F044"/>
      </w:r>
      <w:r w:rsidRPr="00DC7C93">
        <w:rPr>
          <w:lang w:val="en-US"/>
        </w:rPr>
        <w:t xml:space="preserve"> </w:t>
      </w:r>
      <w:r>
        <w:rPr>
          <w:lang w:val="en-US"/>
        </w:rPr>
        <w:t>(at least) for lower SCS PDCCH scheduling a higher SCS PDSCH</w:t>
      </w:r>
    </w:p>
    <w:tbl>
      <w:tblPr>
        <w:tblStyle w:val="af7"/>
        <w:tblW w:w="0" w:type="auto"/>
        <w:tblInd w:w="1413" w:type="dxa"/>
        <w:tblLook w:val="04A0" w:firstRow="1" w:lastRow="0" w:firstColumn="1" w:lastColumn="0" w:noHBand="0" w:noVBand="1"/>
      </w:tblPr>
      <w:tblGrid>
        <w:gridCol w:w="2268"/>
        <w:gridCol w:w="1701"/>
        <w:gridCol w:w="1701"/>
        <w:gridCol w:w="1701"/>
      </w:tblGrid>
      <w:tr w:rsidR="00B2307A" w14:paraId="7926BAFF" w14:textId="77777777" w:rsidTr="00F52BAD">
        <w:trPr>
          <w:trHeight w:val="283"/>
        </w:trPr>
        <w:tc>
          <w:tcPr>
            <w:tcW w:w="2268" w:type="dxa"/>
            <w:shd w:val="clear" w:color="auto" w:fill="BFBFBF" w:themeFill="background1" w:themeFillShade="BF"/>
          </w:tcPr>
          <w:p w14:paraId="7673B570" w14:textId="77777777" w:rsidR="00B2307A" w:rsidRPr="00125CE4" w:rsidRDefault="00B2307A" w:rsidP="00F52BAD">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50048B63" w14:textId="77777777" w:rsidR="00B2307A" w:rsidRPr="00125CE4" w:rsidRDefault="00B2307A" w:rsidP="00F52BAD">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15 kHz</w:t>
            </w:r>
          </w:p>
        </w:tc>
        <w:tc>
          <w:tcPr>
            <w:tcW w:w="1701" w:type="dxa"/>
            <w:shd w:val="clear" w:color="auto" w:fill="BFBFBF" w:themeFill="background1" w:themeFillShade="BF"/>
          </w:tcPr>
          <w:p w14:paraId="59643EFD" w14:textId="77777777" w:rsidR="00B2307A" w:rsidRPr="00125CE4" w:rsidRDefault="00B2307A" w:rsidP="00F52BAD">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30 kHz</w:t>
            </w:r>
          </w:p>
        </w:tc>
        <w:tc>
          <w:tcPr>
            <w:tcW w:w="1701" w:type="dxa"/>
            <w:shd w:val="clear" w:color="auto" w:fill="BFBFBF" w:themeFill="background1" w:themeFillShade="BF"/>
          </w:tcPr>
          <w:p w14:paraId="75D14A92" w14:textId="77777777" w:rsidR="00B2307A" w:rsidRPr="00125CE4" w:rsidRDefault="00B2307A" w:rsidP="00F52BAD">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60 kHz</w:t>
            </w:r>
          </w:p>
        </w:tc>
      </w:tr>
      <w:tr w:rsidR="00B2307A" w14:paraId="5DC0A544" w14:textId="77777777" w:rsidTr="00F52BAD">
        <w:trPr>
          <w:trHeight w:val="283"/>
        </w:trPr>
        <w:tc>
          <w:tcPr>
            <w:tcW w:w="2268" w:type="dxa"/>
            <w:shd w:val="clear" w:color="auto" w:fill="BFBFBF" w:themeFill="background1" w:themeFillShade="BF"/>
          </w:tcPr>
          <w:p w14:paraId="5DE0C17F" w14:textId="77777777" w:rsidR="00B2307A" w:rsidRPr="00125CE4" w:rsidRDefault="00B2307A" w:rsidP="00F52BAD">
            <w:pPr>
              <w:spacing w:after="0"/>
              <w:jc w:val="center"/>
              <w:rPr>
                <w:rFonts w:ascii="Arial" w:hAnsi="Arial" w:cs="Arial"/>
                <w:b/>
                <w:color w:val="000000"/>
                <w:sz w:val="16"/>
                <w:szCs w:val="16"/>
                <w:lang w:eastAsia="ja-JP"/>
              </w:rPr>
            </w:pPr>
            <w:r w:rsidRPr="00125CE4">
              <w:rPr>
                <w:b/>
              </w:rPr>
              <w:sym w:font="Symbol" w:char="F044"/>
            </w:r>
            <w:r w:rsidRPr="00125CE4">
              <w:rPr>
                <w:b/>
                <w:lang w:val="en-US"/>
              </w:rPr>
              <w:t xml:space="preserve"> </w:t>
            </w:r>
            <w:r w:rsidRPr="00125CE4">
              <w:rPr>
                <w:rFonts w:ascii="Arial" w:hAnsi="Arial" w:cs="Arial"/>
                <w:b/>
                <w:color w:val="000000"/>
                <w:sz w:val="16"/>
                <w:szCs w:val="16"/>
                <w:lang w:eastAsia="ja-JP"/>
              </w:rPr>
              <w:t>[PDCCH symbols]</w:t>
            </w:r>
          </w:p>
        </w:tc>
        <w:tc>
          <w:tcPr>
            <w:tcW w:w="1701" w:type="dxa"/>
            <w:vAlign w:val="center"/>
          </w:tcPr>
          <w:p w14:paraId="126BFE87" w14:textId="77777777" w:rsidR="00B2307A" w:rsidRDefault="00B2307A" w:rsidP="00F52BAD">
            <w:pPr>
              <w:spacing w:after="0"/>
              <w:jc w:val="center"/>
              <w:rPr>
                <w:lang w:val="en-US"/>
              </w:rPr>
            </w:pPr>
            <w:r>
              <w:rPr>
                <w:rFonts w:ascii="Arial" w:hAnsi="Arial" w:cs="Arial"/>
                <w:color w:val="000000"/>
                <w:sz w:val="16"/>
                <w:szCs w:val="16"/>
                <w:lang w:eastAsia="ja-JP"/>
              </w:rPr>
              <w:t>[2-4] symbols</w:t>
            </w:r>
          </w:p>
        </w:tc>
        <w:tc>
          <w:tcPr>
            <w:tcW w:w="1701" w:type="dxa"/>
            <w:vAlign w:val="center"/>
          </w:tcPr>
          <w:p w14:paraId="54104F44" w14:textId="77777777" w:rsidR="00B2307A" w:rsidRDefault="00B2307A" w:rsidP="00F52BAD">
            <w:pPr>
              <w:spacing w:after="0"/>
              <w:jc w:val="center"/>
              <w:rPr>
                <w:lang w:val="en-US"/>
              </w:rPr>
            </w:pPr>
            <w:r>
              <w:rPr>
                <w:rFonts w:ascii="Arial" w:hAnsi="Arial" w:cs="Arial"/>
                <w:color w:val="000000"/>
                <w:sz w:val="16"/>
                <w:szCs w:val="16"/>
                <w:lang w:eastAsia="ja-JP"/>
              </w:rPr>
              <w:t>[</w:t>
            </w:r>
            <w:r w:rsidRPr="00F84D67">
              <w:rPr>
                <w:rFonts w:ascii="Arial" w:hAnsi="Arial" w:cs="Arial"/>
                <w:color w:val="000000"/>
                <w:sz w:val="16"/>
                <w:szCs w:val="16"/>
                <w:lang w:eastAsia="ja-JP"/>
              </w:rPr>
              <w:t>4</w:t>
            </w:r>
            <w:r>
              <w:rPr>
                <w:rFonts w:ascii="Arial" w:hAnsi="Arial" w:cs="Arial"/>
                <w:color w:val="000000"/>
                <w:sz w:val="16"/>
                <w:szCs w:val="16"/>
                <w:lang w:eastAsia="ja-JP"/>
              </w:rPr>
              <w:t>]</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c>
          <w:tcPr>
            <w:tcW w:w="1701" w:type="dxa"/>
            <w:vAlign w:val="center"/>
          </w:tcPr>
          <w:p w14:paraId="10BDD5D2" w14:textId="77777777" w:rsidR="00B2307A" w:rsidRDefault="00B2307A" w:rsidP="00F52BAD">
            <w:pPr>
              <w:spacing w:after="0"/>
              <w:jc w:val="center"/>
              <w:rPr>
                <w:lang w:val="en-US"/>
              </w:rPr>
            </w:pPr>
            <w:r>
              <w:rPr>
                <w:rFonts w:ascii="Arial" w:hAnsi="Arial" w:cs="Arial"/>
                <w:color w:val="000000"/>
                <w:sz w:val="16"/>
                <w:szCs w:val="16"/>
                <w:lang w:eastAsia="ja-JP"/>
              </w:rPr>
              <w:t>[</w:t>
            </w:r>
            <w:r w:rsidRPr="00F26219">
              <w:rPr>
                <w:rFonts w:ascii="Arial" w:hAnsi="Arial" w:cs="Arial"/>
                <w:color w:val="000000"/>
                <w:sz w:val="16"/>
                <w:szCs w:val="16"/>
                <w:lang w:eastAsia="ja-JP"/>
              </w:rPr>
              <w:t>6</w:t>
            </w:r>
            <w:r>
              <w:rPr>
                <w:rFonts w:ascii="Arial" w:hAnsi="Arial" w:cs="Arial"/>
                <w:color w:val="000000"/>
                <w:sz w:val="16"/>
                <w:szCs w:val="16"/>
                <w:lang w:eastAsia="ja-JP"/>
              </w:rPr>
              <w:t>-8]</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r>
    </w:tbl>
    <w:p w14:paraId="391EEF5A" w14:textId="77777777" w:rsidR="004E7746" w:rsidRPr="004E7746" w:rsidRDefault="004E7746" w:rsidP="004E7746"/>
    <w:p w14:paraId="43961790" w14:textId="3B5FB6B0" w:rsidR="0097156C" w:rsidRPr="005270BC" w:rsidRDefault="00E51A68" w:rsidP="00E51A68">
      <w:pPr>
        <w:pStyle w:val="afe"/>
        <w:numPr>
          <w:ilvl w:val="0"/>
          <w:numId w:val="26"/>
        </w:numPr>
        <w:ind w:leftChars="0"/>
        <w:rPr>
          <w:b/>
          <w:i/>
          <w:lang w:eastAsia="zh-CN"/>
        </w:rPr>
      </w:pPr>
      <w:r w:rsidRPr="005270BC">
        <w:rPr>
          <w:b/>
          <w:i/>
          <w:lang w:val="en-US"/>
        </w:rPr>
        <w:t xml:space="preserve">In case of lower SCS PDCCH </w:t>
      </w:r>
      <w:r w:rsidR="002F4BB5" w:rsidRPr="005270BC">
        <w:rPr>
          <w:b/>
          <w:i/>
          <w:lang w:val="en-US"/>
        </w:rPr>
        <w:t xml:space="preserve">scheduling a higher SCS PDSCH, </w:t>
      </w:r>
      <w:r w:rsidRPr="005270BC">
        <w:rPr>
          <w:b/>
          <w:i/>
          <w:lang w:val="en-US"/>
        </w:rPr>
        <w:t xml:space="preserve"> </w:t>
      </w:r>
      <w:r w:rsidRPr="005270BC">
        <w:rPr>
          <w:b/>
          <w:i/>
          <w:lang w:val="en-US"/>
        </w:rPr>
        <w:sym w:font="Symbol" w:char="F044"/>
      </w:r>
      <w:r w:rsidRPr="005270BC">
        <w:rPr>
          <w:b/>
          <w:i/>
          <w:lang w:val="en-US"/>
        </w:rPr>
        <w:t xml:space="preserve"> </w:t>
      </w:r>
      <w:r w:rsidR="005270BC" w:rsidRPr="005270BC">
        <w:rPr>
          <w:b/>
          <w:i/>
          <w:lang w:val="en-US"/>
        </w:rPr>
        <w:t xml:space="preserve"> equals</w:t>
      </w:r>
      <w:r w:rsidRPr="005270BC">
        <w:rPr>
          <w:b/>
          <w:i/>
          <w:lang w:val="en-US"/>
        </w:rPr>
        <w:t xml:space="preserve"> </w:t>
      </w:r>
      <w:r w:rsidR="002F4BB5" w:rsidRPr="005270BC">
        <w:rPr>
          <w:b/>
          <w:i/>
          <w:lang w:val="en-US"/>
        </w:rPr>
        <w:t xml:space="preserve">2 symbols for 15 kHz, 4 symbols for 30 kHz, and 8 symbols for 60 </w:t>
      </w:r>
      <w:r w:rsidR="005270BC">
        <w:rPr>
          <w:b/>
          <w:i/>
          <w:lang w:val="en-US"/>
        </w:rPr>
        <w:t>kHz for case 1 scheduling.</w:t>
      </w:r>
    </w:p>
    <w:p w14:paraId="137729D5" w14:textId="73B4A7C6" w:rsidR="005270BC" w:rsidRDefault="005270BC" w:rsidP="005270BC">
      <w:pPr>
        <w:rPr>
          <w:rFonts w:eastAsia="宋体"/>
          <w:lang w:eastAsia="zh-CN"/>
        </w:rPr>
      </w:pPr>
      <w:r>
        <w:rPr>
          <w:rFonts w:eastAsia="宋体" w:hint="eastAsia"/>
          <w:lang w:eastAsia="zh-CN"/>
        </w:rPr>
        <w:t>Fo</w:t>
      </w:r>
      <w:r>
        <w:rPr>
          <w:rFonts w:eastAsia="宋体"/>
          <w:lang w:eastAsia="zh-CN"/>
        </w:rPr>
        <w:t>r case 2, there are three alternatives:</w:t>
      </w:r>
    </w:p>
    <w:p w14:paraId="17155137" w14:textId="77777777" w:rsidR="005270BC" w:rsidRDefault="005270BC" w:rsidP="005270BC">
      <w:pPr>
        <w:pStyle w:val="afe"/>
        <w:numPr>
          <w:ilvl w:val="0"/>
          <w:numId w:val="28"/>
        </w:numPr>
        <w:spacing w:after="0"/>
        <w:ind w:leftChars="0"/>
        <w:contextualSpacing/>
        <w:rPr>
          <w:lang w:val="en-US"/>
        </w:rPr>
      </w:pPr>
      <w:r>
        <w:rPr>
          <w:lang w:val="en-US"/>
        </w:rPr>
        <w:t>ALT1:</w:t>
      </w:r>
    </w:p>
    <w:p w14:paraId="27D97649" w14:textId="77777777" w:rsidR="005270BC" w:rsidRDefault="005270BC" w:rsidP="005270BC">
      <w:pPr>
        <w:pStyle w:val="afe"/>
        <w:numPr>
          <w:ilvl w:val="1"/>
          <w:numId w:val="28"/>
        </w:numPr>
        <w:spacing w:after="0"/>
        <w:ind w:leftChars="0"/>
        <w:contextualSpacing/>
        <w:rPr>
          <w:lang w:val="en-US"/>
        </w:rPr>
      </w:pPr>
      <w:r>
        <w:rPr>
          <w:lang w:val="en-US"/>
        </w:rPr>
        <w:t xml:space="preserve">The same </w:t>
      </w:r>
      <w:r w:rsidRPr="00DC7C93">
        <w:sym w:font="Symbol" w:char="F044"/>
      </w:r>
      <w:r>
        <w:rPr>
          <w:lang w:val="en-US"/>
        </w:rPr>
        <w:t xml:space="preserve"> and quantization to the next PDSCH slot rule as with case 1-1 scheduling is used</w:t>
      </w:r>
    </w:p>
    <w:p w14:paraId="5C9B970C" w14:textId="77777777" w:rsidR="005270BC" w:rsidRDefault="005270BC" w:rsidP="005270BC">
      <w:pPr>
        <w:pStyle w:val="afe"/>
        <w:numPr>
          <w:ilvl w:val="0"/>
          <w:numId w:val="28"/>
        </w:numPr>
        <w:spacing w:after="0"/>
        <w:ind w:leftChars="0"/>
        <w:contextualSpacing/>
        <w:rPr>
          <w:lang w:val="en-US"/>
        </w:rPr>
      </w:pPr>
      <w:r>
        <w:rPr>
          <w:lang w:val="en-US"/>
        </w:rPr>
        <w:t>ALT2:</w:t>
      </w:r>
    </w:p>
    <w:p w14:paraId="57FEA0F8" w14:textId="77777777" w:rsidR="005270BC" w:rsidRDefault="005270BC" w:rsidP="005270BC">
      <w:pPr>
        <w:pStyle w:val="afe"/>
        <w:numPr>
          <w:ilvl w:val="1"/>
          <w:numId w:val="28"/>
        </w:numPr>
        <w:spacing w:after="0"/>
        <w:ind w:leftChars="0"/>
        <w:contextualSpacing/>
        <w:rPr>
          <w:lang w:val="en-US"/>
        </w:rPr>
      </w:pPr>
      <w:r>
        <w:rPr>
          <w:lang w:val="en-US"/>
        </w:rPr>
        <w:t xml:space="preserve">The same </w:t>
      </w:r>
      <w:r w:rsidRPr="00DC7C93">
        <w:sym w:font="Symbol" w:char="F044"/>
      </w:r>
      <w:r>
        <w:rPr>
          <w:lang w:val="en-US"/>
        </w:rPr>
        <w:t xml:space="preserve"> as with case 1-1 scheduling is used </w:t>
      </w:r>
      <w:r w:rsidRPr="00DC7C93">
        <w:rPr>
          <w:u w:val="single"/>
          <w:lang w:val="en-US"/>
        </w:rPr>
        <w:t>without the quantization step</w:t>
      </w:r>
      <w:r>
        <w:rPr>
          <w:lang w:val="en-US"/>
        </w:rPr>
        <w:t xml:space="preserve"> to the next PDSCH slot boundary</w:t>
      </w:r>
    </w:p>
    <w:p w14:paraId="5E721C5D" w14:textId="77777777" w:rsidR="005270BC" w:rsidRPr="00C60E87" w:rsidRDefault="005270BC" w:rsidP="005270BC">
      <w:pPr>
        <w:pStyle w:val="afe"/>
        <w:numPr>
          <w:ilvl w:val="1"/>
          <w:numId w:val="28"/>
        </w:numPr>
        <w:spacing w:after="0"/>
        <w:ind w:leftChars="0"/>
        <w:contextualSpacing/>
        <w:rPr>
          <w:lang w:val="en-US"/>
        </w:rPr>
      </w:pPr>
      <w:r>
        <w:rPr>
          <w:lang w:val="en-US"/>
        </w:rPr>
        <w:t xml:space="preserve">FFS if an additional offset should be added to </w:t>
      </w:r>
      <w:r w:rsidRPr="00DC7C93">
        <w:sym w:font="Symbol" w:char="F044"/>
      </w:r>
    </w:p>
    <w:p w14:paraId="5AB7068F" w14:textId="77777777" w:rsidR="005270BC" w:rsidRDefault="005270BC" w:rsidP="005270BC">
      <w:pPr>
        <w:pStyle w:val="afe"/>
        <w:numPr>
          <w:ilvl w:val="0"/>
          <w:numId w:val="28"/>
        </w:numPr>
        <w:spacing w:after="0"/>
        <w:ind w:leftChars="0"/>
        <w:contextualSpacing/>
        <w:rPr>
          <w:lang w:val="en-US"/>
        </w:rPr>
      </w:pPr>
      <w:r>
        <w:rPr>
          <w:lang w:val="en-US"/>
        </w:rPr>
        <w:t>ALT3:</w:t>
      </w:r>
    </w:p>
    <w:p w14:paraId="3A836F92" w14:textId="77777777" w:rsidR="005270BC" w:rsidRPr="00C60E87" w:rsidRDefault="005270BC" w:rsidP="005270BC">
      <w:pPr>
        <w:pStyle w:val="afe"/>
        <w:numPr>
          <w:ilvl w:val="1"/>
          <w:numId w:val="28"/>
        </w:numPr>
        <w:spacing w:after="0"/>
        <w:ind w:leftChars="0"/>
        <w:contextualSpacing/>
        <w:rPr>
          <w:lang w:val="en-US"/>
        </w:rPr>
      </w:pPr>
      <w:r>
        <w:rPr>
          <w:lang w:val="en-US"/>
        </w:rPr>
        <w:t xml:space="preserve">A different </w:t>
      </w:r>
      <w:r w:rsidRPr="00DC7C93">
        <w:sym w:font="Symbol" w:char="F044"/>
      </w:r>
      <w:r>
        <w:rPr>
          <w:lang w:val="en-US"/>
        </w:rPr>
        <w:t xml:space="preserve"> than with case 1-1 scheduling is used </w:t>
      </w:r>
      <w:r w:rsidRPr="00DC7C93">
        <w:rPr>
          <w:u w:val="single"/>
          <w:lang w:val="en-US"/>
        </w:rPr>
        <w:t>without the quantization step</w:t>
      </w:r>
      <w:r>
        <w:rPr>
          <w:lang w:val="en-US"/>
        </w:rPr>
        <w:t xml:space="preserve"> to the next PDSCH slot boundary</w:t>
      </w:r>
    </w:p>
    <w:p w14:paraId="5C364108" w14:textId="26C93FF9" w:rsidR="005270BC" w:rsidRDefault="005270BC" w:rsidP="00A74F99">
      <w:pPr>
        <w:rPr>
          <w:lang w:val="en-US"/>
        </w:rPr>
      </w:pPr>
      <w:r>
        <w:rPr>
          <w:rFonts w:eastAsia="宋体"/>
          <w:lang w:val="en-US" w:eastAsia="zh-CN"/>
        </w:rPr>
        <w:t>W</w:t>
      </w:r>
      <w:r>
        <w:rPr>
          <w:rFonts w:eastAsia="宋体" w:hint="eastAsia"/>
          <w:lang w:val="en-US" w:eastAsia="zh-CN"/>
        </w:rPr>
        <w:t xml:space="preserve">e </w:t>
      </w:r>
      <w:r w:rsidR="00EB38A5">
        <w:rPr>
          <w:rFonts w:eastAsia="宋体"/>
          <w:lang w:val="en-US" w:eastAsia="zh-CN"/>
        </w:rPr>
        <w:t xml:space="preserve">prefer alt 1. </w:t>
      </w:r>
      <w:r w:rsidR="00A74F99">
        <w:rPr>
          <w:lang w:eastAsia="zh-CN"/>
        </w:rPr>
        <w:t xml:space="preserve">It means when </w:t>
      </w:r>
      <w:r w:rsidR="00A74F99" w:rsidRPr="00394096">
        <w:rPr>
          <w:lang w:val="en-US"/>
        </w:rPr>
        <w:t>lower SCS PDCCH scheduling a higher SCS PDSCH</w:t>
      </w:r>
      <w:r w:rsidR="00A74F99">
        <w:rPr>
          <w:lang w:val="en-US"/>
        </w:rPr>
        <w:t xml:space="preserve">, </w:t>
      </w:r>
      <w:r w:rsidR="00A74F99" w:rsidRPr="00394096">
        <w:rPr>
          <w:lang w:val="en-US"/>
        </w:rPr>
        <w:t xml:space="preserve">the earliest possible starting point for the PDSCH is </w:t>
      </w:r>
      <w:r w:rsidR="00A74F99">
        <w:rPr>
          <w:lang w:val="en-US"/>
        </w:rPr>
        <w:t xml:space="preserve">always the slot boundary. </w:t>
      </w:r>
      <w:r w:rsidR="00A74F99">
        <w:rPr>
          <w:lang w:eastAsia="zh-CN"/>
        </w:rPr>
        <w:t>A</w:t>
      </w:r>
      <w:r w:rsidR="00DB424B">
        <w:rPr>
          <w:lang w:eastAsia="zh-CN"/>
        </w:rPr>
        <w:t xml:space="preserve"> </w:t>
      </w:r>
      <w:r w:rsidR="00DB424B" w:rsidRPr="00414339">
        <w:rPr>
          <w:lang w:eastAsia="zh-CN"/>
        </w:rPr>
        <w:t>unique solution for</w:t>
      </w:r>
      <w:r w:rsidR="00DB424B">
        <w:rPr>
          <w:lang w:eastAsia="zh-CN"/>
        </w:rPr>
        <w:t xml:space="preserve"> PDCCH case 1-1/case 1-2/case 2 can </w:t>
      </w:r>
      <w:r w:rsidR="00A74F99">
        <w:rPr>
          <w:lang w:eastAsia="zh-CN"/>
        </w:rPr>
        <w:t xml:space="preserve">simplify the PDSCH resource allocation configuration, UE processing implementation and gNB scheduling. It is not necessary to distinguish </w:t>
      </w:r>
      <w:r w:rsidR="00A74F99">
        <w:rPr>
          <w:rFonts w:eastAsia="宋体"/>
          <w:lang w:val="en-US" w:eastAsia="zh-CN"/>
        </w:rPr>
        <w:t>a</w:t>
      </w:r>
      <w:r w:rsidR="00116889">
        <w:rPr>
          <w:rFonts w:eastAsia="宋体"/>
          <w:lang w:val="en-US" w:eastAsia="zh-CN"/>
        </w:rPr>
        <w:t xml:space="preserve"> PDCCH</w:t>
      </w:r>
      <w:r w:rsidR="00A74F99">
        <w:rPr>
          <w:rFonts w:eastAsia="宋体"/>
          <w:lang w:val="en-US" w:eastAsia="zh-CN"/>
        </w:rPr>
        <w:t xml:space="preserve"> is </w:t>
      </w:r>
      <w:r w:rsidR="00DB424B">
        <w:rPr>
          <w:lang w:val="en-US"/>
        </w:rPr>
        <w:t xml:space="preserve">in the beginning of the slot </w:t>
      </w:r>
      <w:r w:rsidR="00A74F99">
        <w:rPr>
          <w:lang w:val="en-US"/>
        </w:rPr>
        <w:t>or</w:t>
      </w:r>
      <w:r w:rsidR="00DB424B">
        <w:rPr>
          <w:lang w:val="en-US"/>
        </w:rPr>
        <w:t xml:space="preserve"> in </w:t>
      </w:r>
      <w:r w:rsidR="00A74F99">
        <w:rPr>
          <w:lang w:val="en-US"/>
        </w:rPr>
        <w:t xml:space="preserve">the middle of the slot. </w:t>
      </w:r>
    </w:p>
    <w:p w14:paraId="4F13F154" w14:textId="694119CF" w:rsidR="00A74F99" w:rsidRPr="00A74F99" w:rsidRDefault="00A74F99" w:rsidP="006F7E47">
      <w:pPr>
        <w:pStyle w:val="afe"/>
        <w:numPr>
          <w:ilvl w:val="0"/>
          <w:numId w:val="26"/>
        </w:numPr>
        <w:ind w:leftChars="0"/>
        <w:rPr>
          <w:rFonts w:eastAsia="宋体"/>
          <w:b/>
          <w:i/>
          <w:lang w:val="en-US" w:eastAsia="zh-CN"/>
        </w:rPr>
      </w:pPr>
      <w:r w:rsidRPr="00A74F99">
        <w:rPr>
          <w:rFonts w:eastAsia="宋体"/>
          <w:b/>
          <w:i/>
          <w:lang w:val="en-US" w:eastAsia="zh-CN"/>
        </w:rPr>
        <w:t xml:space="preserve">The same </w:t>
      </w:r>
      <w:r w:rsidRPr="00A74F99">
        <w:rPr>
          <w:b/>
          <w:i/>
          <w:lang w:val="en-US"/>
        </w:rPr>
        <w:t xml:space="preserve"> </w:t>
      </w:r>
      <w:r w:rsidRPr="00A74F99">
        <w:rPr>
          <w:b/>
          <w:i/>
        </w:rPr>
        <w:sym w:font="Symbol" w:char="F044"/>
      </w:r>
      <w:r w:rsidRPr="00A74F99">
        <w:rPr>
          <w:rFonts w:eastAsia="宋体"/>
          <w:b/>
          <w:i/>
          <w:lang w:val="en-US" w:eastAsia="zh-CN"/>
        </w:rPr>
        <w:t xml:space="preserve"> and quantization to the next PDSCH slot rule as with case 1-1 scheduling is used for case 1-2 and case 2 scheduling.</w:t>
      </w:r>
    </w:p>
    <w:p w14:paraId="35978517" w14:textId="77777777" w:rsidR="00BD1E4F" w:rsidRDefault="00BD1E4F" w:rsidP="00BD1E4F">
      <w:pPr>
        <w:pStyle w:val="1"/>
        <w:tabs>
          <w:tab w:val="num" w:pos="426"/>
        </w:tabs>
        <w:ind w:left="426" w:hanging="426"/>
        <w:rPr>
          <w:szCs w:val="36"/>
          <w:lang w:eastAsia="ja-JP"/>
        </w:rPr>
      </w:pPr>
      <w:bookmarkStart w:id="5" w:name="OLE_LINK33"/>
      <w:bookmarkStart w:id="6" w:name="OLE_LINK34"/>
      <w:r w:rsidRPr="00BD1E4F">
        <w:rPr>
          <w:szCs w:val="36"/>
          <w:lang w:eastAsia="ja-JP"/>
        </w:rPr>
        <w:t>Conclusion</w:t>
      </w:r>
    </w:p>
    <w:p w14:paraId="4336376F" w14:textId="144892E4" w:rsidR="00BD1E4F" w:rsidRDefault="00BD1E4F" w:rsidP="00764989">
      <w:pPr>
        <w:jc w:val="both"/>
      </w:pPr>
      <w:r w:rsidRPr="00A90443">
        <w:rPr>
          <w:rFonts w:hint="eastAsia"/>
        </w:rPr>
        <w:t>I</w:t>
      </w:r>
      <w:r w:rsidRPr="00A90443">
        <w:t xml:space="preserve">n </w:t>
      </w:r>
      <w:r>
        <w:t>this contribution, we made the following proposals.</w:t>
      </w:r>
    </w:p>
    <w:p w14:paraId="0BF43450" w14:textId="77777777" w:rsidR="000A4983" w:rsidRPr="005270BC" w:rsidRDefault="000A4983" w:rsidP="000A4983">
      <w:pPr>
        <w:pStyle w:val="afe"/>
        <w:numPr>
          <w:ilvl w:val="0"/>
          <w:numId w:val="27"/>
        </w:numPr>
        <w:ind w:leftChars="0"/>
        <w:rPr>
          <w:b/>
          <w:i/>
          <w:lang w:eastAsia="zh-CN"/>
        </w:rPr>
      </w:pPr>
      <w:r w:rsidRPr="005270BC">
        <w:rPr>
          <w:b/>
          <w:i/>
          <w:lang w:val="en-US"/>
        </w:rPr>
        <w:t xml:space="preserve">In case of lower SCS PDCCH scheduling a higher SCS PDSCH,  </w:t>
      </w:r>
      <w:r w:rsidRPr="005270BC">
        <w:rPr>
          <w:b/>
          <w:i/>
          <w:lang w:val="en-US"/>
        </w:rPr>
        <w:sym w:font="Symbol" w:char="F044"/>
      </w:r>
      <w:r w:rsidRPr="005270BC">
        <w:rPr>
          <w:b/>
          <w:i/>
          <w:lang w:val="en-US"/>
        </w:rPr>
        <w:t xml:space="preserve">  equals 2 symbols for 15 kHz, 4 symbols for 30 kHz, and 8 symbols for 60 </w:t>
      </w:r>
      <w:r>
        <w:rPr>
          <w:b/>
          <w:i/>
          <w:lang w:val="en-US"/>
        </w:rPr>
        <w:t>kHz for case 1 scheduling.</w:t>
      </w:r>
    </w:p>
    <w:p w14:paraId="25500604" w14:textId="1D35379B" w:rsidR="00E51A68" w:rsidRPr="000A4983" w:rsidRDefault="000A4983" w:rsidP="001434C5">
      <w:pPr>
        <w:pStyle w:val="afe"/>
        <w:numPr>
          <w:ilvl w:val="0"/>
          <w:numId w:val="27"/>
        </w:numPr>
        <w:ind w:leftChars="0"/>
        <w:rPr>
          <w:b/>
          <w:i/>
          <w:lang w:eastAsia="zh-CN"/>
        </w:rPr>
      </w:pPr>
      <w:r w:rsidRPr="000A4983">
        <w:rPr>
          <w:rFonts w:eastAsia="宋体"/>
          <w:b/>
          <w:i/>
          <w:lang w:val="en-US" w:eastAsia="zh-CN"/>
        </w:rPr>
        <w:t xml:space="preserve">The same </w:t>
      </w:r>
      <w:r w:rsidRPr="000A4983">
        <w:rPr>
          <w:b/>
          <w:i/>
          <w:lang w:val="en-US"/>
        </w:rPr>
        <w:t xml:space="preserve"> </w:t>
      </w:r>
      <w:r w:rsidRPr="00A74F99">
        <w:rPr>
          <w:b/>
          <w:i/>
        </w:rPr>
        <w:sym w:font="Symbol" w:char="F044"/>
      </w:r>
      <w:r w:rsidRPr="000A4983">
        <w:rPr>
          <w:rFonts w:eastAsia="宋体"/>
          <w:b/>
          <w:i/>
          <w:lang w:val="en-US" w:eastAsia="zh-CN"/>
        </w:rPr>
        <w:t xml:space="preserve"> and quantization to the next PDSCH slot rule as with case 1-1 scheduling is used for case 1-2 and case 2 scheduling.</w:t>
      </w:r>
    </w:p>
    <w:bookmarkEnd w:id="5"/>
    <w:bookmarkEnd w:id="6"/>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6B41F88D" w14:textId="77BD79D4" w:rsidR="00764989" w:rsidRDefault="00764989" w:rsidP="00764989">
      <w:pPr>
        <w:pStyle w:val="af0"/>
        <w:numPr>
          <w:ilvl w:val="0"/>
          <w:numId w:val="23"/>
        </w:numPr>
        <w:spacing w:before="120" w:after="0"/>
        <w:jc w:val="both"/>
        <w:rPr>
          <w:rFonts w:eastAsia="宋体"/>
        </w:rPr>
      </w:pPr>
      <w:bookmarkStart w:id="7" w:name="_Ref510367818"/>
      <w:r w:rsidRPr="00780DAC">
        <w:rPr>
          <w:rFonts w:eastAsia="宋体"/>
        </w:rPr>
        <w:t>RP-182076</w:t>
      </w:r>
      <w:r>
        <w:rPr>
          <w:rFonts w:eastAsia="宋体"/>
        </w:rPr>
        <w:t>, “</w:t>
      </w:r>
      <w:r w:rsidRPr="00780DAC">
        <w:rPr>
          <w:rFonts w:eastAsia="宋体"/>
        </w:rPr>
        <w:t>WID on Multi-RAT Dual-Connectivity and Carrier Aggregation enhancements (LTE_NR_DC_CA_enh-Core)</w:t>
      </w:r>
      <w:r>
        <w:rPr>
          <w:rFonts w:eastAsia="宋体"/>
        </w:rPr>
        <w:t>”</w:t>
      </w:r>
    </w:p>
    <w:bookmarkEnd w:id="7"/>
    <w:p w14:paraId="3A998036" w14:textId="286B8F20" w:rsidR="00C71F7A" w:rsidRDefault="0003702C" w:rsidP="00942D7C">
      <w:pPr>
        <w:pStyle w:val="References"/>
      </w:pPr>
      <w:r>
        <w:t>Final</w:t>
      </w:r>
      <w:r w:rsidRPr="000B1042">
        <w:t xml:space="preserve"> Report of 3GPP TSG RAN WG1 </w:t>
      </w:r>
      <w:r w:rsidR="00FE6371">
        <w:t>#96</w:t>
      </w:r>
      <w:r w:rsidR="000A4983">
        <w:t>bis</w:t>
      </w:r>
      <w:r w:rsidR="001D5ACC">
        <w:rPr>
          <w:lang w:eastAsia="ja-JP"/>
        </w:rPr>
        <w:t>.</w:t>
      </w:r>
    </w:p>
    <w:sectPr w:rsidR="00C71F7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036A2" w14:textId="77777777" w:rsidR="006B3189" w:rsidRDefault="006B3189">
      <w:r>
        <w:separator/>
      </w:r>
    </w:p>
  </w:endnote>
  <w:endnote w:type="continuationSeparator" w:id="0">
    <w:p w14:paraId="2F989C0D" w14:textId="77777777" w:rsidR="006B3189" w:rsidRDefault="006B3189">
      <w:r>
        <w:continuationSeparator/>
      </w:r>
    </w:p>
  </w:endnote>
  <w:endnote w:type="continuationNotice" w:id="1">
    <w:p w14:paraId="0D33DBBC" w14:textId="77777777" w:rsidR="006B3189" w:rsidRDefault="006B3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965D2" w:rsidRDefault="006965D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0074D">
      <w:rPr>
        <w:rStyle w:val="af3"/>
      </w:rPr>
      <w:t>1</w:t>
    </w:r>
    <w:r>
      <w:rPr>
        <w:rStyle w:val="af3"/>
      </w:rPr>
      <w:fldChar w:fldCharType="end"/>
    </w:r>
  </w:p>
  <w:p w14:paraId="1F5C3A06" w14:textId="77777777" w:rsidR="006965D2" w:rsidRDefault="006965D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2BFE5" w14:textId="77777777" w:rsidR="006B3189" w:rsidRDefault="006B3189">
      <w:r>
        <w:separator/>
      </w:r>
    </w:p>
  </w:footnote>
  <w:footnote w:type="continuationSeparator" w:id="0">
    <w:p w14:paraId="32119A77" w14:textId="77777777" w:rsidR="006B3189" w:rsidRDefault="006B3189">
      <w:r>
        <w:continuationSeparator/>
      </w:r>
    </w:p>
  </w:footnote>
  <w:footnote w:type="continuationNotice" w:id="1">
    <w:p w14:paraId="38037D97" w14:textId="77777777" w:rsidR="006B3189" w:rsidRDefault="006B318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0347D0"/>
    <w:multiLevelType w:val="hybridMultilevel"/>
    <w:tmpl w:val="027EE7D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4">
    <w:nsid w:val="2ABC2414"/>
    <w:multiLevelType w:val="hybridMultilevel"/>
    <w:tmpl w:val="8C0046C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B735D6"/>
    <w:multiLevelType w:val="hybridMultilevel"/>
    <w:tmpl w:val="DBC6C83A"/>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4E2CC3"/>
    <w:multiLevelType w:val="hybridMultilevel"/>
    <w:tmpl w:val="724A1F84"/>
    <w:lvl w:ilvl="0" w:tplc="B0C4D88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D12210"/>
    <w:multiLevelType w:val="hybridMultilevel"/>
    <w:tmpl w:val="7F94C0E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2C4CF1"/>
    <w:multiLevelType w:val="hybridMultilevel"/>
    <w:tmpl w:val="DECA6B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1D64929"/>
    <w:multiLevelType w:val="hybridMultilevel"/>
    <w:tmpl w:val="512A393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101B9"/>
    <w:multiLevelType w:val="hybridMultilevel"/>
    <w:tmpl w:val="56B48E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765D70"/>
    <w:multiLevelType w:val="hybridMultilevel"/>
    <w:tmpl w:val="D60E8362"/>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912696"/>
    <w:multiLevelType w:val="hybridMultilevel"/>
    <w:tmpl w:val="262CD99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DA4430"/>
    <w:multiLevelType w:val="hybridMultilevel"/>
    <w:tmpl w:val="75CA2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6"/>
  </w:num>
  <w:num w:numId="2">
    <w:abstractNumId w:val="28"/>
  </w:num>
  <w:num w:numId="3">
    <w:abstractNumId w:val="11"/>
  </w:num>
  <w:num w:numId="4">
    <w:abstractNumId w:val="20"/>
  </w:num>
  <w:num w:numId="5">
    <w:abstractNumId w:val="15"/>
  </w:num>
  <w:num w:numId="6">
    <w:abstractNumId w:val="16"/>
  </w:num>
  <w:num w:numId="7">
    <w:abstractNumId w:val="13"/>
  </w:num>
  <w:num w:numId="8">
    <w:abstractNumId w:val="27"/>
  </w:num>
  <w:num w:numId="9">
    <w:abstractNumId w:val="6"/>
  </w:num>
  <w:num w:numId="10">
    <w:abstractNumId w:val="5"/>
  </w:num>
  <w:num w:numId="11">
    <w:abstractNumId w:val="3"/>
  </w:num>
  <w:num w:numId="12">
    <w:abstractNumId w:val="0"/>
  </w:num>
  <w:num w:numId="13">
    <w:abstractNumId w:val="24"/>
  </w:num>
  <w:num w:numId="14">
    <w:abstractNumId w:val="8"/>
  </w:num>
  <w:num w:numId="15">
    <w:abstractNumId w:val="23"/>
  </w:num>
  <w:num w:numId="16">
    <w:abstractNumId w:val="9"/>
  </w:num>
  <w:num w:numId="17">
    <w:abstractNumId w:val="18"/>
  </w:num>
  <w:num w:numId="18">
    <w:abstractNumId w:val="12"/>
  </w:num>
  <w:num w:numId="19">
    <w:abstractNumId w:val="17"/>
  </w:num>
  <w:num w:numId="20">
    <w:abstractNumId w:val="10"/>
  </w:num>
  <w:num w:numId="21">
    <w:abstractNumId w:val="4"/>
  </w:num>
  <w:num w:numId="22">
    <w:abstractNumId w:val="1"/>
  </w:num>
  <w:num w:numId="23">
    <w:abstractNumId w:val="29"/>
  </w:num>
  <w:num w:numId="24">
    <w:abstractNumId w:val="14"/>
  </w:num>
  <w:num w:numId="25">
    <w:abstractNumId w:val="25"/>
  </w:num>
  <w:num w:numId="26">
    <w:abstractNumId w:val="22"/>
  </w:num>
  <w:num w:numId="27">
    <w:abstractNumId w:val="2"/>
  </w:num>
  <w:num w:numId="28">
    <w:abstractNumId w:val="7"/>
  </w:num>
  <w:num w:numId="29">
    <w:abstractNumId w:val="19"/>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16B"/>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6F39"/>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375D"/>
    <w:rsid w:val="00064752"/>
    <w:rsid w:val="00064F18"/>
    <w:rsid w:val="00065323"/>
    <w:rsid w:val="000657FB"/>
    <w:rsid w:val="00065AAC"/>
    <w:rsid w:val="00065C71"/>
    <w:rsid w:val="00066306"/>
    <w:rsid w:val="00066E66"/>
    <w:rsid w:val="00066FAE"/>
    <w:rsid w:val="00067A15"/>
    <w:rsid w:val="00067AA1"/>
    <w:rsid w:val="0007056A"/>
    <w:rsid w:val="00070680"/>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11AD"/>
    <w:rsid w:val="000A1408"/>
    <w:rsid w:val="000A2457"/>
    <w:rsid w:val="000A2F81"/>
    <w:rsid w:val="000A3132"/>
    <w:rsid w:val="000A3512"/>
    <w:rsid w:val="000A391A"/>
    <w:rsid w:val="000A3A30"/>
    <w:rsid w:val="000A3C0F"/>
    <w:rsid w:val="000A42F7"/>
    <w:rsid w:val="000A45A2"/>
    <w:rsid w:val="000A4983"/>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AFE"/>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425"/>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3F6"/>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89"/>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88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37A"/>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9F9"/>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37B"/>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46FB"/>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1C5"/>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2D5C"/>
    <w:rsid w:val="00213732"/>
    <w:rsid w:val="002137EB"/>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52B4"/>
    <w:rsid w:val="00225813"/>
    <w:rsid w:val="00226B40"/>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924"/>
    <w:rsid w:val="002F4B44"/>
    <w:rsid w:val="002F4BB5"/>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47B"/>
    <w:rsid w:val="003B6E44"/>
    <w:rsid w:val="003B6FC4"/>
    <w:rsid w:val="003B7057"/>
    <w:rsid w:val="003B782E"/>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0B"/>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3F7F92"/>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339"/>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87C"/>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746"/>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20"/>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0BC"/>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6D4"/>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D0F"/>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4FBE"/>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62A"/>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948"/>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E7FA4"/>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610"/>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F"/>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03"/>
    <w:rsid w:val="006A3717"/>
    <w:rsid w:val="006A3BE4"/>
    <w:rsid w:val="006A4C31"/>
    <w:rsid w:val="006A57DA"/>
    <w:rsid w:val="006A5EB1"/>
    <w:rsid w:val="006A67CF"/>
    <w:rsid w:val="006A692B"/>
    <w:rsid w:val="006A69CD"/>
    <w:rsid w:val="006A6B29"/>
    <w:rsid w:val="006A6D9D"/>
    <w:rsid w:val="006A728E"/>
    <w:rsid w:val="006A7CB3"/>
    <w:rsid w:val="006B0454"/>
    <w:rsid w:val="006B09CD"/>
    <w:rsid w:val="006B0D05"/>
    <w:rsid w:val="006B0E97"/>
    <w:rsid w:val="006B101E"/>
    <w:rsid w:val="006B113E"/>
    <w:rsid w:val="006B2854"/>
    <w:rsid w:val="006B2D3F"/>
    <w:rsid w:val="006B3077"/>
    <w:rsid w:val="006B30E4"/>
    <w:rsid w:val="006B3189"/>
    <w:rsid w:val="006B3451"/>
    <w:rsid w:val="006B35CB"/>
    <w:rsid w:val="006B3890"/>
    <w:rsid w:val="006B39BB"/>
    <w:rsid w:val="006B3F51"/>
    <w:rsid w:val="006B5715"/>
    <w:rsid w:val="006B6330"/>
    <w:rsid w:val="006B6A80"/>
    <w:rsid w:val="006B768A"/>
    <w:rsid w:val="006B7DE9"/>
    <w:rsid w:val="006C0B21"/>
    <w:rsid w:val="006C0E64"/>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0E"/>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89"/>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87B"/>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74D"/>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E1D"/>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1FC6"/>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BC2"/>
    <w:rsid w:val="00970FFA"/>
    <w:rsid w:val="00971132"/>
    <w:rsid w:val="0097156C"/>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9D4"/>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286E"/>
    <w:rsid w:val="009B32B7"/>
    <w:rsid w:val="009B450E"/>
    <w:rsid w:val="009B4533"/>
    <w:rsid w:val="009B49D2"/>
    <w:rsid w:val="009B5CA3"/>
    <w:rsid w:val="009B5D3A"/>
    <w:rsid w:val="009B5DBC"/>
    <w:rsid w:val="009B5E74"/>
    <w:rsid w:val="009B6CD5"/>
    <w:rsid w:val="009B7207"/>
    <w:rsid w:val="009B7295"/>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0AC"/>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CD6"/>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6896"/>
    <w:rsid w:val="00A07326"/>
    <w:rsid w:val="00A07B62"/>
    <w:rsid w:val="00A10570"/>
    <w:rsid w:val="00A1059E"/>
    <w:rsid w:val="00A106A2"/>
    <w:rsid w:val="00A106D3"/>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4F3"/>
    <w:rsid w:val="00A245F1"/>
    <w:rsid w:val="00A251A4"/>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5FE7"/>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99"/>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6A6"/>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948"/>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4FC"/>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7A"/>
    <w:rsid w:val="00B230A1"/>
    <w:rsid w:val="00B23322"/>
    <w:rsid w:val="00B23914"/>
    <w:rsid w:val="00B23C27"/>
    <w:rsid w:val="00B24828"/>
    <w:rsid w:val="00B24BA6"/>
    <w:rsid w:val="00B24C99"/>
    <w:rsid w:val="00B24D74"/>
    <w:rsid w:val="00B24DBA"/>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18F0"/>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24D0"/>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76"/>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2EA"/>
    <w:rsid w:val="00BF261A"/>
    <w:rsid w:val="00BF262D"/>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07F63"/>
    <w:rsid w:val="00C1093A"/>
    <w:rsid w:val="00C11108"/>
    <w:rsid w:val="00C113B1"/>
    <w:rsid w:val="00C11487"/>
    <w:rsid w:val="00C11713"/>
    <w:rsid w:val="00C1388C"/>
    <w:rsid w:val="00C143E6"/>
    <w:rsid w:val="00C14A76"/>
    <w:rsid w:val="00C14E79"/>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1F3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271"/>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8F7"/>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2A7"/>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1D75"/>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5D28"/>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3F8"/>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91F"/>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616"/>
    <w:rsid w:val="00DA7715"/>
    <w:rsid w:val="00DA7FE6"/>
    <w:rsid w:val="00DB02BA"/>
    <w:rsid w:val="00DB20DB"/>
    <w:rsid w:val="00DB213F"/>
    <w:rsid w:val="00DB2EF1"/>
    <w:rsid w:val="00DB3349"/>
    <w:rsid w:val="00DB3488"/>
    <w:rsid w:val="00DB424B"/>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A68"/>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154"/>
    <w:rsid w:val="00E56CAC"/>
    <w:rsid w:val="00E56EE5"/>
    <w:rsid w:val="00E5731D"/>
    <w:rsid w:val="00E5765C"/>
    <w:rsid w:val="00E578E5"/>
    <w:rsid w:val="00E604B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5E6"/>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E0"/>
    <w:rsid w:val="00EA6B0A"/>
    <w:rsid w:val="00EB0727"/>
    <w:rsid w:val="00EB0748"/>
    <w:rsid w:val="00EB0D4F"/>
    <w:rsid w:val="00EB12D2"/>
    <w:rsid w:val="00EB1BD2"/>
    <w:rsid w:val="00EB1CB1"/>
    <w:rsid w:val="00EB269A"/>
    <w:rsid w:val="00EB26E4"/>
    <w:rsid w:val="00EB28EC"/>
    <w:rsid w:val="00EB3364"/>
    <w:rsid w:val="00EB3442"/>
    <w:rsid w:val="00EB38A5"/>
    <w:rsid w:val="00EB3B63"/>
    <w:rsid w:val="00EB3F2A"/>
    <w:rsid w:val="00EB468C"/>
    <w:rsid w:val="00EB5145"/>
    <w:rsid w:val="00EB5FEB"/>
    <w:rsid w:val="00EB6058"/>
    <w:rsid w:val="00EB6DD1"/>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D7F53"/>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1FEE"/>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6D3"/>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408"/>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CA0"/>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6BE"/>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B9D"/>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371"/>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66EFF"/>
    <w:pPr>
      <w:numPr>
        <w:ilvl w:val="1"/>
      </w:numPr>
      <w:pBdr>
        <w:top w:val="none" w:sz="0" w:space="0" w:color="auto"/>
      </w:pBdr>
      <w:tabs>
        <w:tab w:val="clear" w:pos="851"/>
      </w:tabs>
      <w:adjustRightInd w:val="0"/>
      <w:spacing w:before="180"/>
      <w:ind w:left="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列出段落1,中等深浅网格 1 - 着色 21,列表段落,¥¡¡¡¡ì¬º¥¹¥È¶ÎÂä,ÁÐ³ö¶ÎÂä,列表段落1,—ño’i—Ž,¥ê¥¹¥È¶ÎÂä"/>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66EFF"/>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uiPriority w:val="99"/>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109438">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E55DB-3D88-4084-A2C9-20D8461B5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669</Words>
  <Characters>3817</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11</cp:revision>
  <cp:lastPrinted>2010-04-02T09:58:00Z</cp:lastPrinted>
  <dcterms:created xsi:type="dcterms:W3CDTF">2019-03-29T08:19:00Z</dcterms:created>
  <dcterms:modified xsi:type="dcterms:W3CDTF">2019-04-25T07:03:00Z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